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Alingsås kommunfullmäktige</w:t>
      </w:r>
    </w:p>
    <w:p>
      <w:pPr>
        <w:pStyle w:val="Heading1"/>
      </w:pPr>
      <w:r>
        <w:t xml:space="preserve">Korta bygglovstider för bostäder och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Alingsås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Alingsås handläggningstider för bygglov är längre än genomsnittet i Västra Götaland. Detta hämmar både bostadsbyggande och företagsetableringar enligt Svenskt Näringsliv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Alingsås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bygglovsbeslut.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särskild handläggargrupp för företagsärenden.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på kommunens webbplats.</w:t>
      </w:r>
    </w:p>
    <w:p>
      <w:pPr>
        <w:spacing w:before="360"/>
      </w:pPr>
    </w:p>
    <w:p>
      <w:r>
        <w:t xml:space="preserve">Alingsås,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Alingsås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2026-07-13T23:30:21.373Z</dcterms:created>
  <dcterms:modified xsi:type="dcterms:W3CDTF">2026-07-13T23:30:21.373Z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